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70C19" w14:textId="77777777" w:rsidR="00F51EC9" w:rsidRPr="00541E52" w:rsidRDefault="00F51EC9">
      <w:pPr>
        <w:pStyle w:val="Corpsdetexte"/>
        <w:rPr>
          <w:sz w:val="20"/>
          <w:lang w:val="fr-FR"/>
        </w:rPr>
      </w:pPr>
    </w:p>
    <w:p w14:paraId="7997F4B1" w14:textId="77777777" w:rsidR="00F51EC9" w:rsidRPr="00541E52" w:rsidRDefault="00F51EC9">
      <w:pPr>
        <w:pStyle w:val="Corpsdetexte"/>
        <w:spacing w:before="4"/>
        <w:rPr>
          <w:sz w:val="28"/>
          <w:lang w:val="fr-FR"/>
        </w:rPr>
      </w:pPr>
    </w:p>
    <w:p w14:paraId="559333CB" w14:textId="2D4F0530" w:rsidR="00F51EC9" w:rsidRPr="00541E52" w:rsidRDefault="00EC1CB1">
      <w:pPr>
        <w:pStyle w:val="Titre1"/>
        <w:spacing w:line="331" w:lineRule="exact"/>
        <w:rPr>
          <w:lang w:val="fr-FR"/>
        </w:rPr>
      </w:pPr>
      <w:bookmarkStart w:id="0" w:name="Annex_ZA__(informative)__Relationship_be"/>
      <w:bookmarkEnd w:id="0"/>
      <w:r w:rsidRPr="00541E52">
        <w:rPr>
          <w:lang w:val="fr-FR"/>
        </w:rPr>
        <w:t>Annex</w:t>
      </w:r>
      <w:r w:rsidR="00B324D6" w:rsidRPr="00541E52">
        <w:rPr>
          <w:lang w:val="fr-FR"/>
        </w:rPr>
        <w:t>e</w:t>
      </w:r>
      <w:r w:rsidRPr="00541E52">
        <w:rPr>
          <w:spacing w:val="-3"/>
          <w:lang w:val="fr-FR"/>
        </w:rPr>
        <w:t xml:space="preserve"> </w:t>
      </w:r>
      <w:r w:rsidR="004870E3" w:rsidRPr="00541E52">
        <w:rPr>
          <w:lang w:val="fr-FR"/>
        </w:rPr>
        <w:t>Z</w:t>
      </w:r>
      <w:r w:rsidR="000E6009" w:rsidRPr="00541E52">
        <w:rPr>
          <w:lang w:val="fr-FR"/>
        </w:rPr>
        <w:t>Z</w:t>
      </w:r>
    </w:p>
    <w:p w14:paraId="0B36D894" w14:textId="77777777" w:rsidR="00F51EC9" w:rsidRPr="00541E52" w:rsidRDefault="00EC1CB1">
      <w:pPr>
        <w:spacing w:line="331" w:lineRule="exact"/>
        <w:ind w:left="183" w:right="204"/>
        <w:jc w:val="center"/>
        <w:rPr>
          <w:sz w:val="30"/>
          <w:lang w:val="fr-FR"/>
        </w:rPr>
      </w:pPr>
      <w:r w:rsidRPr="00541E52">
        <w:rPr>
          <w:sz w:val="30"/>
          <w:lang w:val="fr-FR"/>
        </w:rPr>
        <w:t>(informative)</w:t>
      </w:r>
    </w:p>
    <w:p w14:paraId="521F5379" w14:textId="1DD9F0D4" w:rsidR="00F51EC9" w:rsidRPr="00541E52" w:rsidRDefault="00B324D6">
      <w:pPr>
        <w:pStyle w:val="Titre1"/>
        <w:spacing w:before="302" w:line="211" w:lineRule="auto"/>
        <w:ind w:right="206"/>
        <w:rPr>
          <w:lang w:val="fr-FR"/>
        </w:rPr>
      </w:pPr>
      <w:r w:rsidRPr="00541E52">
        <w:rPr>
          <w:lang w:val="fr-FR"/>
        </w:rPr>
        <w:t>Relation entre la présente Norme européenne</w:t>
      </w:r>
      <w:r w:rsidR="00EC1CB1" w:rsidRPr="00541E52">
        <w:rPr>
          <w:lang w:val="fr-FR"/>
        </w:rPr>
        <w:t xml:space="preserve"> </w:t>
      </w:r>
      <w:bookmarkStart w:id="1" w:name="_Hlk141800011"/>
      <w:bookmarkStart w:id="2" w:name="_Hlk126337743"/>
      <w:r w:rsidRPr="00541E52">
        <w:rPr>
          <w:lang w:val="fr-FR"/>
        </w:rPr>
        <w:t xml:space="preserve">et les exigences </w:t>
      </w:r>
      <w:r w:rsidR="00142C92" w:rsidRPr="00541E52">
        <w:rPr>
          <w:lang w:val="fr-FR"/>
        </w:rPr>
        <w:t xml:space="preserve">concernées </w:t>
      </w:r>
      <w:r w:rsidRPr="00541E52">
        <w:rPr>
          <w:lang w:val="fr-FR"/>
        </w:rPr>
        <w:t>du Règlement</w:t>
      </w:r>
      <w:r w:rsidR="00877D33" w:rsidRPr="00541E52">
        <w:rPr>
          <w:lang w:val="fr-FR"/>
        </w:rPr>
        <w:t xml:space="preserve"> (</w:t>
      </w:r>
      <w:r w:rsidR="00486A34" w:rsidRPr="00541E52">
        <w:rPr>
          <w:lang w:val="fr-FR"/>
        </w:rPr>
        <w:t>U</w:t>
      </w:r>
      <w:r w:rsidRPr="00541E52">
        <w:rPr>
          <w:lang w:val="fr-FR"/>
        </w:rPr>
        <w:t>E</w:t>
      </w:r>
      <w:r w:rsidR="00877D33" w:rsidRPr="00541E52">
        <w:rPr>
          <w:lang w:val="fr-FR"/>
        </w:rPr>
        <w:t>)</w:t>
      </w:r>
      <w:r w:rsidR="002015AE" w:rsidRPr="00541E52">
        <w:rPr>
          <w:lang w:val="fr-FR"/>
        </w:rPr>
        <w:t xml:space="preserve"> 2023/1542 </w:t>
      </w:r>
      <w:r w:rsidRPr="00541E52">
        <w:rPr>
          <w:lang w:val="fr-FR"/>
        </w:rPr>
        <w:t xml:space="preserve">du Parlement européen et du Conseil du </w:t>
      </w:r>
      <w:r w:rsidR="002015AE" w:rsidRPr="00541E52">
        <w:rPr>
          <w:lang w:val="fr-FR"/>
        </w:rPr>
        <w:t>12</w:t>
      </w:r>
      <w:r w:rsidRPr="00541E52">
        <w:rPr>
          <w:lang w:val="fr-FR"/>
        </w:rPr>
        <w:t> juillet </w:t>
      </w:r>
      <w:r w:rsidR="002015AE" w:rsidRPr="00541E52">
        <w:rPr>
          <w:lang w:val="fr-FR"/>
        </w:rPr>
        <w:t xml:space="preserve">2023 </w:t>
      </w:r>
      <w:bookmarkEnd w:id="1"/>
      <w:bookmarkEnd w:id="2"/>
      <w:r w:rsidRPr="00541E52">
        <w:rPr>
          <w:lang w:val="fr-FR"/>
        </w:rPr>
        <w:t xml:space="preserve">relatif aux batteries et aux déchets de batteries, modifiant la Directive 2008/98/CE et le </w:t>
      </w:r>
      <w:r w:rsidR="00E35EF0" w:rsidRPr="00541E52">
        <w:rPr>
          <w:lang w:val="fr-FR"/>
        </w:rPr>
        <w:br/>
      </w:r>
      <w:r w:rsidRPr="00541E52">
        <w:rPr>
          <w:lang w:val="fr-FR"/>
        </w:rPr>
        <w:t xml:space="preserve">Règlement (UE) 2019/1020, et abrogeant la </w:t>
      </w:r>
      <w:r w:rsidR="00A65668" w:rsidRPr="00541E52">
        <w:rPr>
          <w:lang w:val="fr-FR"/>
        </w:rPr>
        <w:t>D</w:t>
      </w:r>
      <w:r w:rsidRPr="00541E52">
        <w:rPr>
          <w:lang w:val="fr-FR"/>
        </w:rPr>
        <w:t>irective 2006/66/CE</w:t>
      </w:r>
    </w:p>
    <w:p w14:paraId="15688AFA" w14:textId="77777777" w:rsidR="00F51EC9" w:rsidRPr="00541E52" w:rsidRDefault="00F51EC9">
      <w:pPr>
        <w:pStyle w:val="Corpsdetexte"/>
        <w:spacing w:before="5"/>
        <w:rPr>
          <w:b/>
          <w:sz w:val="31"/>
          <w:lang w:val="fr-FR"/>
        </w:rPr>
      </w:pPr>
    </w:p>
    <w:p w14:paraId="66A84A32" w14:textId="451030F9" w:rsidR="00F51EC9" w:rsidRPr="00541E52" w:rsidRDefault="00B324D6" w:rsidP="007D7892">
      <w:pPr>
        <w:pStyle w:val="Corpsdetexte"/>
        <w:ind w:left="175" w:right="193"/>
        <w:jc w:val="both"/>
        <w:rPr>
          <w:spacing w:val="1"/>
          <w:sz w:val="20"/>
          <w:szCs w:val="20"/>
          <w:lang w:val="fr-FR"/>
        </w:rPr>
      </w:pPr>
      <w:r w:rsidRPr="00541E52">
        <w:rPr>
          <w:sz w:val="20"/>
          <w:szCs w:val="20"/>
          <w:lang w:val="fr-FR"/>
        </w:rPr>
        <w:t xml:space="preserve">La présente Norme européenne a été élaborée en réponse à la Décision d’exécution de la Commission </w:t>
      </w:r>
      <w:r w:rsidR="007D7892" w:rsidRPr="00541E52">
        <w:rPr>
          <w:spacing w:val="1"/>
          <w:sz w:val="20"/>
          <w:szCs w:val="20"/>
          <w:lang w:val="fr-FR"/>
        </w:rPr>
        <w:t>C(2021)</w:t>
      </w:r>
      <w:r w:rsidR="00AA3DFB" w:rsidRPr="00541E52">
        <w:rPr>
          <w:spacing w:val="1"/>
          <w:sz w:val="20"/>
          <w:szCs w:val="20"/>
          <w:lang w:val="fr-FR"/>
        </w:rPr>
        <w:t> </w:t>
      </w:r>
      <w:r w:rsidR="007D7892" w:rsidRPr="00541E52">
        <w:rPr>
          <w:spacing w:val="1"/>
          <w:sz w:val="20"/>
          <w:szCs w:val="20"/>
          <w:lang w:val="fr-FR"/>
        </w:rPr>
        <w:t xml:space="preserve">8614 final </w:t>
      </w:r>
      <w:r w:rsidR="00A60FBB" w:rsidRPr="00541E52">
        <w:rPr>
          <w:spacing w:val="1"/>
          <w:sz w:val="20"/>
          <w:szCs w:val="20"/>
          <w:lang w:val="fr-FR"/>
        </w:rPr>
        <w:t>du</w:t>
      </w:r>
      <w:r w:rsidR="00EF09C9" w:rsidRPr="00541E52">
        <w:rPr>
          <w:spacing w:val="1"/>
          <w:sz w:val="20"/>
          <w:szCs w:val="20"/>
          <w:lang w:val="fr-FR"/>
        </w:rPr>
        <w:t xml:space="preserve"> 7.12.2021</w:t>
      </w:r>
      <w:r w:rsidR="007D7892" w:rsidRPr="00541E52">
        <w:rPr>
          <w:spacing w:val="1"/>
          <w:sz w:val="20"/>
          <w:szCs w:val="20"/>
          <w:lang w:val="fr-FR"/>
        </w:rPr>
        <w:t xml:space="preserve"> </w:t>
      </w:r>
      <w:r w:rsidR="00A60FBB" w:rsidRPr="00541E52">
        <w:rPr>
          <w:spacing w:val="1"/>
          <w:sz w:val="20"/>
          <w:szCs w:val="20"/>
          <w:lang w:val="fr-FR"/>
        </w:rPr>
        <w:t xml:space="preserve">relative à une </w:t>
      </w:r>
      <w:r w:rsidR="00F6053D" w:rsidRPr="00541E52">
        <w:rPr>
          <w:spacing w:val="1"/>
          <w:sz w:val="20"/>
          <w:szCs w:val="20"/>
          <w:lang w:val="fr-FR"/>
        </w:rPr>
        <w:t xml:space="preserve">demande de normalisation adressée aux organismes européens de normalisation en ce qui concerne les exigences en matière de performances, de sécurité et de durabilité des batteries, piles et accumulateurs </w:t>
      </w:r>
      <w:r w:rsidR="00EC1CB1" w:rsidRPr="00541E52">
        <w:rPr>
          <w:sz w:val="20"/>
          <w:szCs w:val="20"/>
          <w:lang w:val="fr-FR"/>
        </w:rPr>
        <w:t>(M/5</w:t>
      </w:r>
      <w:r w:rsidR="00BC2AFD" w:rsidRPr="00541E52">
        <w:rPr>
          <w:sz w:val="20"/>
          <w:szCs w:val="20"/>
          <w:lang w:val="fr-FR"/>
        </w:rPr>
        <w:t>79</w:t>
      </w:r>
      <w:r w:rsidR="00EC1CB1" w:rsidRPr="00541E52">
        <w:rPr>
          <w:sz w:val="20"/>
          <w:szCs w:val="20"/>
          <w:lang w:val="fr-FR"/>
        </w:rPr>
        <w:t>)</w:t>
      </w:r>
      <w:r w:rsidR="00B55778" w:rsidRPr="00541E52">
        <w:rPr>
          <w:sz w:val="20"/>
          <w:szCs w:val="20"/>
          <w:lang w:val="fr-FR"/>
        </w:rPr>
        <w:t xml:space="preserve">, </w:t>
      </w:r>
      <w:r w:rsidR="00F6053D" w:rsidRPr="00541E52">
        <w:rPr>
          <w:sz w:val="20"/>
          <w:szCs w:val="20"/>
          <w:lang w:val="fr-FR"/>
        </w:rPr>
        <w:t>afin d’offrir un moyen volontaire de se conformer au Règlement</w:t>
      </w:r>
      <w:r w:rsidR="00AA3DFB" w:rsidRPr="00541E52">
        <w:rPr>
          <w:sz w:val="20"/>
          <w:szCs w:val="20"/>
          <w:lang w:val="fr-FR"/>
        </w:rPr>
        <w:t> </w:t>
      </w:r>
      <w:r w:rsidR="000827F2" w:rsidRPr="00541E52">
        <w:rPr>
          <w:sz w:val="20"/>
          <w:szCs w:val="20"/>
          <w:lang w:val="fr-FR"/>
        </w:rPr>
        <w:t>(</w:t>
      </w:r>
      <w:r w:rsidR="00F6053D" w:rsidRPr="00541E52">
        <w:rPr>
          <w:sz w:val="20"/>
          <w:szCs w:val="20"/>
          <w:lang w:val="fr-FR"/>
        </w:rPr>
        <w:t>UE</w:t>
      </w:r>
      <w:r w:rsidR="000827F2" w:rsidRPr="00541E52">
        <w:rPr>
          <w:sz w:val="20"/>
          <w:szCs w:val="20"/>
          <w:lang w:val="fr-FR"/>
        </w:rPr>
        <w:t>)</w:t>
      </w:r>
      <w:r w:rsidR="00F6053D" w:rsidRPr="00541E52">
        <w:rPr>
          <w:sz w:val="20"/>
          <w:szCs w:val="20"/>
          <w:lang w:val="fr-FR"/>
        </w:rPr>
        <w:t> </w:t>
      </w:r>
      <w:r w:rsidR="000827F2" w:rsidRPr="00541E52">
        <w:rPr>
          <w:sz w:val="20"/>
          <w:szCs w:val="20"/>
          <w:lang w:val="fr-FR"/>
        </w:rPr>
        <w:t xml:space="preserve">2023/1542 </w:t>
      </w:r>
      <w:r w:rsidR="00F6053D" w:rsidRPr="00541E52">
        <w:rPr>
          <w:sz w:val="20"/>
          <w:szCs w:val="20"/>
          <w:lang w:val="fr-FR"/>
        </w:rPr>
        <w:t>du Parlement européen et du Conseil du</w:t>
      </w:r>
      <w:r w:rsidR="000827F2" w:rsidRPr="00541E52">
        <w:rPr>
          <w:sz w:val="20"/>
          <w:szCs w:val="20"/>
          <w:lang w:val="fr-FR"/>
        </w:rPr>
        <w:t xml:space="preserve"> 12</w:t>
      </w:r>
      <w:r w:rsidR="00F6053D" w:rsidRPr="00541E52">
        <w:rPr>
          <w:sz w:val="20"/>
          <w:szCs w:val="20"/>
          <w:lang w:val="fr-FR"/>
        </w:rPr>
        <w:t> juillet </w:t>
      </w:r>
      <w:r w:rsidR="000827F2" w:rsidRPr="00541E52">
        <w:rPr>
          <w:spacing w:val="1"/>
          <w:sz w:val="20"/>
          <w:szCs w:val="20"/>
          <w:lang w:val="fr-FR"/>
        </w:rPr>
        <w:t xml:space="preserve">2023 </w:t>
      </w:r>
      <w:r w:rsidR="00F6053D" w:rsidRPr="00541E52">
        <w:rPr>
          <w:spacing w:val="1"/>
          <w:sz w:val="20"/>
          <w:szCs w:val="20"/>
          <w:lang w:val="fr-FR"/>
        </w:rPr>
        <w:t>relatif aux batteries et aux déchets de batteries, modifiant la Directive 2008/98/CE et le Règlement (UE) 2019/1020, et abrogeant la Directive 2006/66/CE</w:t>
      </w:r>
      <w:r w:rsidR="000827F2" w:rsidRPr="00541E52">
        <w:rPr>
          <w:spacing w:val="1"/>
          <w:sz w:val="20"/>
          <w:szCs w:val="20"/>
          <w:lang w:val="fr-FR"/>
        </w:rPr>
        <w:t xml:space="preserve"> </w:t>
      </w:r>
      <w:bookmarkStart w:id="3" w:name="_Hlk141800029"/>
      <w:r w:rsidR="003B412F" w:rsidRPr="00541E52">
        <w:rPr>
          <w:spacing w:val="1"/>
          <w:sz w:val="20"/>
          <w:szCs w:val="20"/>
          <w:lang w:val="fr-FR"/>
        </w:rPr>
        <w:t>[J</w:t>
      </w:r>
      <w:r w:rsidR="006E4727" w:rsidRPr="00541E52">
        <w:rPr>
          <w:spacing w:val="1"/>
          <w:sz w:val="20"/>
          <w:szCs w:val="20"/>
          <w:lang w:val="fr-FR"/>
        </w:rPr>
        <w:t>O</w:t>
      </w:r>
      <w:r w:rsidR="00797E80" w:rsidRPr="00541E52">
        <w:rPr>
          <w:spacing w:val="1"/>
          <w:sz w:val="20"/>
          <w:szCs w:val="20"/>
          <w:lang w:val="fr-FR"/>
        </w:rPr>
        <w:t> </w:t>
      </w:r>
      <w:r w:rsidR="003B412F" w:rsidRPr="00541E52">
        <w:rPr>
          <w:spacing w:val="1"/>
          <w:sz w:val="20"/>
          <w:szCs w:val="20"/>
          <w:lang w:val="fr-FR"/>
        </w:rPr>
        <w:t>L</w:t>
      </w:r>
      <w:r w:rsidR="00797E80" w:rsidRPr="00541E52">
        <w:rPr>
          <w:spacing w:val="1"/>
          <w:sz w:val="20"/>
          <w:szCs w:val="20"/>
          <w:lang w:val="fr-FR"/>
        </w:rPr>
        <w:t> </w:t>
      </w:r>
      <w:r w:rsidR="004C5D34" w:rsidRPr="00541E52">
        <w:rPr>
          <w:spacing w:val="1"/>
          <w:sz w:val="20"/>
          <w:szCs w:val="20"/>
          <w:lang w:val="fr-FR"/>
        </w:rPr>
        <w:t>191</w:t>
      </w:r>
      <w:r w:rsidR="003B412F" w:rsidRPr="00541E52">
        <w:rPr>
          <w:spacing w:val="1"/>
          <w:sz w:val="20"/>
          <w:szCs w:val="20"/>
          <w:lang w:val="fr-FR"/>
        </w:rPr>
        <w:t>].</w:t>
      </w:r>
      <w:bookmarkEnd w:id="3"/>
    </w:p>
    <w:p w14:paraId="4DC7BB95" w14:textId="77777777" w:rsidR="006E4727" w:rsidRPr="00541E52" w:rsidRDefault="006E4727" w:rsidP="007D7892">
      <w:pPr>
        <w:pStyle w:val="Corpsdetexte"/>
        <w:ind w:left="175" w:right="193"/>
        <w:jc w:val="both"/>
        <w:rPr>
          <w:sz w:val="20"/>
          <w:szCs w:val="20"/>
          <w:lang w:val="fr-FR"/>
        </w:rPr>
      </w:pPr>
    </w:p>
    <w:p w14:paraId="0C33DBE5" w14:textId="06D6677E" w:rsidR="006E4727" w:rsidRPr="00541E52" w:rsidRDefault="006E4727" w:rsidP="00A65668">
      <w:pPr>
        <w:pStyle w:val="Corpsdetexte"/>
        <w:ind w:left="175" w:right="193"/>
        <w:jc w:val="both"/>
        <w:rPr>
          <w:spacing w:val="1"/>
          <w:sz w:val="20"/>
          <w:szCs w:val="20"/>
          <w:lang w:val="fr-FR"/>
        </w:rPr>
      </w:pPr>
      <w:r w:rsidRPr="00541E52">
        <w:rPr>
          <w:spacing w:val="1"/>
          <w:sz w:val="20"/>
          <w:szCs w:val="20"/>
          <w:lang w:val="fr-FR"/>
        </w:rPr>
        <w:t xml:space="preserve">Une fois la présente norme citée au Journal officiel de l’Union européenne au titre dudit Règlement, la conformité aux articles normatifs de cette norme indiqués dans le Tableau Z confère, dans les limites du domaine d’application de cette norme, présomption de conformité aux exigences correspondantes dudit Règlement et de la réglementation AELE associée si, le cas échéant, les valeurs minimales légales </w:t>
      </w:r>
      <w:r w:rsidR="00E45E09" w:rsidRPr="00541E52">
        <w:rPr>
          <w:spacing w:val="1"/>
          <w:sz w:val="20"/>
          <w:szCs w:val="20"/>
          <w:lang w:val="fr-FR"/>
        </w:rPr>
        <w:t xml:space="preserve">concernant </w:t>
      </w:r>
      <w:r w:rsidRPr="00541E52">
        <w:rPr>
          <w:spacing w:val="1"/>
          <w:sz w:val="20"/>
          <w:szCs w:val="20"/>
          <w:lang w:val="fr-FR"/>
        </w:rPr>
        <w:t>ces exigences sont atteintes.</w:t>
      </w:r>
    </w:p>
    <w:p w14:paraId="613354E7" w14:textId="77777777" w:rsidR="00F51EC9" w:rsidRPr="00541E52" w:rsidRDefault="00F51EC9" w:rsidP="00A65668">
      <w:pPr>
        <w:pStyle w:val="Corpsdetexte"/>
        <w:rPr>
          <w:sz w:val="20"/>
          <w:szCs w:val="20"/>
          <w:lang w:val="fr-FR"/>
        </w:rPr>
      </w:pPr>
    </w:p>
    <w:p w14:paraId="3C559E6A" w14:textId="50B21253" w:rsidR="00F51EC9" w:rsidRPr="00541E52" w:rsidRDefault="00EC1CB1" w:rsidP="00A65668">
      <w:pPr>
        <w:spacing w:line="244" w:lineRule="exact"/>
        <w:ind w:left="183" w:right="205"/>
        <w:jc w:val="center"/>
        <w:rPr>
          <w:b/>
          <w:lang w:val="fr-FR"/>
        </w:rPr>
      </w:pPr>
      <w:r w:rsidRPr="00541E52">
        <w:rPr>
          <w:b/>
          <w:lang w:val="fr-FR"/>
        </w:rPr>
        <w:t>Table</w:t>
      </w:r>
      <w:r w:rsidR="00AA3DFB" w:rsidRPr="00541E52">
        <w:rPr>
          <w:b/>
          <w:lang w:val="fr-FR"/>
        </w:rPr>
        <w:t>au</w:t>
      </w:r>
      <w:r w:rsidR="00AA3DFB" w:rsidRPr="00541E52">
        <w:rPr>
          <w:b/>
          <w:spacing w:val="-2"/>
          <w:lang w:val="fr-FR"/>
        </w:rPr>
        <w:t> </w:t>
      </w:r>
      <w:r w:rsidRPr="00541E52">
        <w:rPr>
          <w:b/>
          <w:lang w:val="fr-FR"/>
        </w:rPr>
        <w:t>Z</w:t>
      </w:r>
      <w:r w:rsidR="000E6009" w:rsidRPr="00541E52">
        <w:rPr>
          <w:b/>
          <w:lang w:val="fr-FR"/>
        </w:rPr>
        <w:t>Z.1</w:t>
      </w:r>
      <w:r w:rsidRPr="00541E52">
        <w:rPr>
          <w:b/>
          <w:spacing w:val="-1"/>
          <w:lang w:val="fr-FR"/>
        </w:rPr>
        <w:t xml:space="preserve"> </w:t>
      </w:r>
      <w:r w:rsidRPr="00541E52">
        <w:rPr>
          <w:b/>
          <w:lang w:val="fr-FR"/>
        </w:rPr>
        <w:t>—</w:t>
      </w:r>
      <w:r w:rsidRPr="00541E52">
        <w:rPr>
          <w:b/>
          <w:spacing w:val="-3"/>
          <w:lang w:val="fr-FR"/>
        </w:rPr>
        <w:t xml:space="preserve"> </w:t>
      </w:r>
      <w:r w:rsidRPr="00541E52">
        <w:rPr>
          <w:b/>
          <w:lang w:val="fr-FR"/>
        </w:rPr>
        <w:t>Correspo</w:t>
      </w:r>
      <w:r w:rsidR="00AA3DFB" w:rsidRPr="00541E52">
        <w:rPr>
          <w:b/>
          <w:lang w:val="fr-FR"/>
        </w:rPr>
        <w:t>ndance entre la présente Norme européenne et le Règlement</w:t>
      </w:r>
      <w:r w:rsidR="00AA3DFB" w:rsidRPr="00541E52">
        <w:rPr>
          <w:b/>
          <w:bCs/>
          <w:lang w:val="fr-FR"/>
        </w:rPr>
        <w:t> </w:t>
      </w:r>
      <w:r w:rsidR="004C5D34" w:rsidRPr="00541E52">
        <w:rPr>
          <w:b/>
          <w:bCs/>
          <w:lang w:val="fr-FR"/>
        </w:rPr>
        <w:t>(U</w:t>
      </w:r>
      <w:r w:rsidR="00AA3DFB" w:rsidRPr="00541E52">
        <w:rPr>
          <w:b/>
          <w:bCs/>
          <w:lang w:val="fr-FR"/>
        </w:rPr>
        <w:t>E</w:t>
      </w:r>
      <w:r w:rsidR="004C5D34" w:rsidRPr="00541E52">
        <w:rPr>
          <w:b/>
          <w:bCs/>
          <w:lang w:val="fr-FR"/>
        </w:rPr>
        <w:t>)</w:t>
      </w:r>
      <w:r w:rsidR="00AA3DFB" w:rsidRPr="00541E52">
        <w:rPr>
          <w:b/>
          <w:bCs/>
          <w:lang w:val="fr-FR"/>
        </w:rPr>
        <w:t> </w:t>
      </w:r>
      <w:r w:rsidR="004C5D34" w:rsidRPr="00541E52">
        <w:rPr>
          <w:b/>
          <w:bCs/>
          <w:lang w:val="fr-FR"/>
        </w:rPr>
        <w:t xml:space="preserve">2023/1542 </w:t>
      </w:r>
      <w:r w:rsidR="00AA3DFB" w:rsidRPr="00541E52">
        <w:rPr>
          <w:b/>
          <w:bCs/>
          <w:lang w:val="fr-FR"/>
        </w:rPr>
        <w:t>du Parlement européen et du Conseil du</w:t>
      </w:r>
      <w:r w:rsidR="004C5D34" w:rsidRPr="00541E52">
        <w:rPr>
          <w:b/>
          <w:bCs/>
          <w:lang w:val="fr-FR"/>
        </w:rPr>
        <w:t xml:space="preserve"> 12</w:t>
      </w:r>
      <w:r w:rsidR="00AA3DFB" w:rsidRPr="00541E52">
        <w:rPr>
          <w:b/>
          <w:bCs/>
          <w:lang w:val="fr-FR"/>
        </w:rPr>
        <w:t> juillet </w:t>
      </w:r>
      <w:r w:rsidR="004C5D34" w:rsidRPr="00541E52">
        <w:rPr>
          <w:b/>
          <w:bCs/>
          <w:lang w:val="fr-FR"/>
        </w:rPr>
        <w:t xml:space="preserve">2023 </w:t>
      </w:r>
      <w:r w:rsidR="00AA3DFB" w:rsidRPr="00541E52">
        <w:rPr>
          <w:b/>
          <w:bCs/>
          <w:lang w:val="fr-FR"/>
        </w:rPr>
        <w:t xml:space="preserve">relatif aux batteries et aux déchets de batteries, modifiant la Directive 2008/98/CE et le </w:t>
      </w:r>
      <w:r w:rsidR="00E35EF0" w:rsidRPr="00541E52">
        <w:rPr>
          <w:b/>
          <w:bCs/>
          <w:lang w:val="fr-FR"/>
        </w:rPr>
        <w:br/>
      </w:r>
      <w:r w:rsidR="00AA3DFB" w:rsidRPr="00541E52">
        <w:rPr>
          <w:b/>
          <w:bCs/>
          <w:lang w:val="fr-FR"/>
        </w:rPr>
        <w:t xml:space="preserve">Règlement (UE) 2019/1020, et abrogeant la </w:t>
      </w:r>
      <w:r w:rsidR="00A65668" w:rsidRPr="00541E52">
        <w:rPr>
          <w:b/>
          <w:bCs/>
          <w:lang w:val="fr-FR"/>
        </w:rPr>
        <w:t>D</w:t>
      </w:r>
      <w:r w:rsidR="00AA3DFB" w:rsidRPr="00541E52">
        <w:rPr>
          <w:b/>
          <w:bCs/>
          <w:lang w:val="fr-FR"/>
        </w:rPr>
        <w:t xml:space="preserve">irective 2006/66/CE </w:t>
      </w:r>
      <w:r w:rsidR="004C5D34" w:rsidRPr="00541E52">
        <w:rPr>
          <w:b/>
          <w:bCs/>
          <w:lang w:val="fr-FR"/>
        </w:rPr>
        <w:t>[J</w:t>
      </w:r>
      <w:r w:rsidR="00AA3DFB" w:rsidRPr="00541E52">
        <w:rPr>
          <w:b/>
          <w:bCs/>
          <w:lang w:val="fr-FR"/>
        </w:rPr>
        <w:t>O</w:t>
      </w:r>
      <w:r w:rsidR="004C5D34" w:rsidRPr="00541E52">
        <w:rPr>
          <w:b/>
          <w:bCs/>
          <w:lang w:val="fr-FR"/>
        </w:rPr>
        <w:t xml:space="preserve"> L 191]</w:t>
      </w:r>
    </w:p>
    <w:p w14:paraId="2D773758" w14:textId="77777777" w:rsidR="00F51EC9" w:rsidRPr="00541E52" w:rsidRDefault="00F51EC9">
      <w:pPr>
        <w:pStyle w:val="Corpsdetexte"/>
        <w:rPr>
          <w:b/>
          <w:sz w:val="20"/>
          <w:lang w:val="fr-FR"/>
        </w:rPr>
      </w:pPr>
    </w:p>
    <w:p w14:paraId="5192F9CB" w14:textId="77777777" w:rsidR="00F51EC9" w:rsidRPr="00541E52" w:rsidRDefault="00F51EC9">
      <w:pPr>
        <w:pStyle w:val="Corpsdetexte"/>
        <w:spacing w:before="10"/>
        <w:rPr>
          <w:b/>
          <w:sz w:val="12"/>
          <w:lang w:val="fr-FR"/>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3315"/>
        <w:gridCol w:w="3321"/>
      </w:tblGrid>
      <w:tr w:rsidR="004D6F4B" w:rsidRPr="00541E52" w14:paraId="7B4ED973" w14:textId="77777777" w:rsidTr="00D572C7">
        <w:trPr>
          <w:trHeight w:val="541"/>
        </w:trPr>
        <w:tc>
          <w:tcPr>
            <w:tcW w:w="3707" w:type="dxa"/>
          </w:tcPr>
          <w:p w14:paraId="0E85BDE3" w14:textId="6DC85F4F" w:rsidR="004D6F4B" w:rsidRPr="00541E52" w:rsidRDefault="004D6F4B" w:rsidP="004D6F4B">
            <w:pPr>
              <w:pStyle w:val="TableParagraph"/>
              <w:spacing w:before="2" w:line="240" w:lineRule="auto"/>
              <w:ind w:left="1135" w:right="92" w:hanging="1023"/>
              <w:rPr>
                <w:b/>
                <w:lang w:val="fr-FR"/>
              </w:rPr>
            </w:pPr>
            <w:r w:rsidRPr="00541E52">
              <w:rPr>
                <w:b/>
                <w:lang w:val="fr-FR"/>
              </w:rPr>
              <w:t>Exigences du Règlement (UE)</w:t>
            </w:r>
            <w:r w:rsidRPr="00541E52">
              <w:rPr>
                <w:b/>
                <w:bCs/>
                <w:lang w:val="fr-FR"/>
              </w:rPr>
              <w:t xml:space="preserve"> 2023/1542</w:t>
            </w:r>
          </w:p>
        </w:tc>
        <w:tc>
          <w:tcPr>
            <w:tcW w:w="3315" w:type="dxa"/>
          </w:tcPr>
          <w:p w14:paraId="3BD25879" w14:textId="2463E274" w:rsidR="004D6F4B" w:rsidRPr="00541E52" w:rsidRDefault="004D6F4B" w:rsidP="0075746F">
            <w:pPr>
              <w:pStyle w:val="TableParagraph"/>
              <w:spacing w:before="2" w:line="240" w:lineRule="auto"/>
              <w:ind w:left="392" w:right="418" w:firstLine="48"/>
              <w:rPr>
                <w:b/>
                <w:lang w:val="fr-FR"/>
              </w:rPr>
            </w:pPr>
            <w:r w:rsidRPr="00541E52">
              <w:rPr>
                <w:b/>
                <w:lang w:val="fr-FR"/>
              </w:rPr>
              <w:t>Articles/paragraphes d</w:t>
            </w:r>
            <w:r w:rsidR="00A65668" w:rsidRPr="00541E52">
              <w:rPr>
                <w:b/>
                <w:lang w:val="fr-FR"/>
              </w:rPr>
              <w:t>e la prése</w:t>
            </w:r>
            <w:bookmarkStart w:id="4" w:name="_GoBack"/>
            <w:bookmarkEnd w:id="4"/>
            <w:r w:rsidR="00A65668" w:rsidRPr="00541E52">
              <w:rPr>
                <w:b/>
                <w:lang w:val="fr-FR"/>
              </w:rPr>
              <w:t>nte Norme européenne</w:t>
            </w:r>
          </w:p>
        </w:tc>
        <w:tc>
          <w:tcPr>
            <w:tcW w:w="3321" w:type="dxa"/>
          </w:tcPr>
          <w:p w14:paraId="0F98FDD7" w14:textId="5F89D79D" w:rsidR="004D6F4B" w:rsidRPr="00541E52" w:rsidRDefault="004D6F4B" w:rsidP="004D6F4B">
            <w:pPr>
              <w:pStyle w:val="TableParagraph"/>
              <w:spacing w:before="2" w:line="240" w:lineRule="auto"/>
              <w:ind w:left="852"/>
              <w:rPr>
                <w:b/>
                <w:lang w:val="fr-FR"/>
              </w:rPr>
            </w:pPr>
            <w:r w:rsidRPr="00541E52">
              <w:rPr>
                <w:b/>
                <w:lang w:val="fr-FR"/>
              </w:rPr>
              <w:t>Remarques/Notes</w:t>
            </w:r>
          </w:p>
        </w:tc>
      </w:tr>
      <w:tr w:rsidR="004D6F4B" w:rsidRPr="00541E52" w14:paraId="7574E837" w14:textId="77777777" w:rsidTr="00D572C7">
        <w:trPr>
          <w:trHeight w:val="478"/>
        </w:trPr>
        <w:tc>
          <w:tcPr>
            <w:tcW w:w="3707" w:type="dxa"/>
          </w:tcPr>
          <w:p w14:paraId="7D6D21E2" w14:textId="77777777" w:rsidR="004D6F4B" w:rsidRPr="00541E52" w:rsidRDefault="004D6F4B" w:rsidP="004D6F4B">
            <w:pPr>
              <w:pStyle w:val="TableParagraph"/>
              <w:ind w:left="69"/>
              <w:rPr>
                <w:lang w:val="fr-FR"/>
              </w:rPr>
            </w:pPr>
            <w:r w:rsidRPr="00541E52">
              <w:rPr>
                <w:lang w:val="fr-FR"/>
              </w:rPr>
              <w:t>Article 9</w:t>
            </w:r>
          </w:p>
          <w:p w14:paraId="3BABABCB" w14:textId="7C9FA161" w:rsidR="004D6F4B" w:rsidRPr="00541E52" w:rsidRDefault="004D6F4B" w:rsidP="004D6F4B">
            <w:pPr>
              <w:pStyle w:val="TableParagraph"/>
              <w:rPr>
                <w:color w:val="FF0000"/>
                <w:lang w:val="fr-FR"/>
              </w:rPr>
            </w:pPr>
            <w:r w:rsidRPr="00541E52">
              <w:rPr>
                <w:color w:val="FF0000"/>
                <w:lang w:val="fr-FR"/>
              </w:rPr>
              <w:t>P</w:t>
            </w:r>
            <w:r w:rsidR="00064416" w:rsidRPr="00541E52">
              <w:rPr>
                <w:color w:val="FF0000"/>
                <w:lang w:val="fr-FR"/>
              </w:rPr>
              <w:t xml:space="preserve">oint </w:t>
            </w:r>
            <w:r w:rsidRPr="00541E52">
              <w:rPr>
                <w:color w:val="FF0000"/>
                <w:lang w:val="fr-FR"/>
              </w:rPr>
              <w:t>A, B, C…</w:t>
            </w:r>
          </w:p>
          <w:p w14:paraId="1AF90166" w14:textId="7ADAEC64" w:rsidR="004D6F4B" w:rsidRPr="00541E52" w:rsidRDefault="004D6F4B" w:rsidP="004D6F4B">
            <w:pPr>
              <w:pStyle w:val="TableParagraph"/>
              <w:ind w:left="69"/>
              <w:rPr>
                <w:lang w:val="fr-FR"/>
              </w:rPr>
            </w:pPr>
          </w:p>
        </w:tc>
        <w:tc>
          <w:tcPr>
            <w:tcW w:w="3315" w:type="dxa"/>
          </w:tcPr>
          <w:p w14:paraId="6F28B586" w14:textId="0F7F4359" w:rsidR="004D6F4B" w:rsidRPr="00541E52" w:rsidRDefault="00064416" w:rsidP="004D6F4B">
            <w:pPr>
              <w:pStyle w:val="TableParagraph"/>
              <w:rPr>
                <w:color w:val="FF0000"/>
                <w:lang w:val="fr-FR"/>
              </w:rPr>
            </w:pPr>
            <w:r w:rsidRPr="00541E52">
              <w:rPr>
                <w:color w:val="FF0000"/>
                <w:lang w:val="fr-FR"/>
              </w:rPr>
              <w:t>Article </w:t>
            </w:r>
            <w:r w:rsidR="004D6F4B" w:rsidRPr="00541E52">
              <w:rPr>
                <w:color w:val="FF0000"/>
                <w:lang w:val="fr-FR"/>
              </w:rPr>
              <w:t xml:space="preserve">X, </w:t>
            </w:r>
            <w:r w:rsidRPr="00541E52">
              <w:rPr>
                <w:color w:val="FF0000"/>
                <w:lang w:val="fr-FR"/>
              </w:rPr>
              <w:t>paragraphe </w:t>
            </w:r>
            <w:r w:rsidR="004D6F4B" w:rsidRPr="00541E52">
              <w:rPr>
                <w:color w:val="FF0000"/>
                <w:lang w:val="fr-FR"/>
              </w:rPr>
              <w:t>a, b, c…</w:t>
            </w:r>
          </w:p>
          <w:p w14:paraId="658957D8" w14:textId="304A94F0" w:rsidR="004D6F4B" w:rsidRPr="00541E52" w:rsidRDefault="00064416" w:rsidP="004D6F4B">
            <w:pPr>
              <w:pStyle w:val="TableParagraph"/>
              <w:rPr>
                <w:color w:val="FF0000"/>
                <w:lang w:val="fr-FR"/>
              </w:rPr>
            </w:pPr>
            <w:r w:rsidRPr="00541E52">
              <w:rPr>
                <w:color w:val="FF0000"/>
                <w:lang w:val="fr-FR"/>
              </w:rPr>
              <w:t>Article </w:t>
            </w:r>
            <w:r w:rsidR="004D6F4B" w:rsidRPr="00541E52">
              <w:rPr>
                <w:color w:val="FF0000"/>
                <w:lang w:val="fr-FR"/>
              </w:rPr>
              <w:t xml:space="preserve">Y, </w:t>
            </w:r>
            <w:r w:rsidRPr="00541E52">
              <w:rPr>
                <w:color w:val="FF0000"/>
                <w:lang w:val="fr-FR"/>
              </w:rPr>
              <w:t>paragraphe</w:t>
            </w:r>
            <w:r w:rsidR="004D6F4B" w:rsidRPr="00541E52">
              <w:rPr>
                <w:color w:val="FF0000"/>
                <w:lang w:val="fr-FR"/>
              </w:rPr>
              <w:t xml:space="preserve"> d, e, f…</w:t>
            </w:r>
          </w:p>
          <w:p w14:paraId="5DB759D4" w14:textId="59F9CC4C" w:rsidR="004D6F4B" w:rsidRPr="00541E52" w:rsidRDefault="004D6F4B" w:rsidP="004D6F4B">
            <w:pPr>
              <w:pStyle w:val="TableParagraph"/>
              <w:rPr>
                <w:lang w:val="fr-FR"/>
              </w:rPr>
            </w:pPr>
            <w:r w:rsidRPr="00541E52">
              <w:rPr>
                <w:color w:val="FF0000"/>
                <w:lang w:val="fr-FR"/>
              </w:rPr>
              <w:t>…</w:t>
            </w:r>
          </w:p>
        </w:tc>
        <w:tc>
          <w:tcPr>
            <w:tcW w:w="3321" w:type="dxa"/>
          </w:tcPr>
          <w:p w14:paraId="5DFE078F" w14:textId="6A4D0784" w:rsidR="004D6F4B" w:rsidRPr="00541E52" w:rsidRDefault="001246B6" w:rsidP="004D6F4B">
            <w:pPr>
              <w:pStyle w:val="TableParagraph"/>
              <w:spacing w:line="240" w:lineRule="auto"/>
              <w:ind w:left="70" w:right="81"/>
              <w:rPr>
                <w:lang w:val="fr-FR"/>
              </w:rPr>
            </w:pPr>
            <w:r w:rsidRPr="00541E52">
              <w:rPr>
                <w:color w:val="FF0000"/>
                <w:lang w:val="fr-FR"/>
              </w:rPr>
              <w:t xml:space="preserve">Sujet spécifique </w:t>
            </w:r>
            <w:r w:rsidR="00670396" w:rsidRPr="00541E52">
              <w:rPr>
                <w:color w:val="FF0000"/>
                <w:lang w:val="fr-FR"/>
              </w:rPr>
              <w:t>traité</w:t>
            </w:r>
          </w:p>
        </w:tc>
      </w:tr>
      <w:tr w:rsidR="004D6F4B" w:rsidRPr="00541E52" w14:paraId="1B744726" w14:textId="77777777" w:rsidTr="00D572C7">
        <w:trPr>
          <w:trHeight w:val="478"/>
        </w:trPr>
        <w:tc>
          <w:tcPr>
            <w:tcW w:w="3707" w:type="dxa"/>
          </w:tcPr>
          <w:p w14:paraId="76369E66" w14:textId="12FF0F36" w:rsidR="004D6F4B" w:rsidRPr="00541E52" w:rsidRDefault="004D6F4B" w:rsidP="004D6F4B">
            <w:pPr>
              <w:pStyle w:val="TableParagraph"/>
              <w:rPr>
                <w:color w:val="FF0000"/>
                <w:lang w:val="fr-FR"/>
              </w:rPr>
            </w:pPr>
            <w:r w:rsidRPr="00541E52">
              <w:rPr>
                <w:lang w:val="fr-FR"/>
              </w:rPr>
              <w:t xml:space="preserve">Article 10 </w:t>
            </w:r>
            <w:r w:rsidRPr="00541E52">
              <w:rPr>
                <w:color w:val="FF0000"/>
                <w:lang w:val="fr-FR"/>
              </w:rPr>
              <w:t>Point A, B, C…</w:t>
            </w:r>
          </w:p>
          <w:p w14:paraId="2C7CFCBB" w14:textId="2867A3CB" w:rsidR="004D6F4B" w:rsidRPr="00541E52" w:rsidRDefault="004D6F4B" w:rsidP="004D6F4B">
            <w:pPr>
              <w:pStyle w:val="TableParagraph"/>
              <w:rPr>
                <w:color w:val="FF0000"/>
                <w:lang w:val="fr-FR"/>
              </w:rPr>
            </w:pPr>
          </w:p>
          <w:p w14:paraId="20FD7C12" w14:textId="51F8579E" w:rsidR="004D6F4B" w:rsidRPr="00541E52" w:rsidRDefault="004D6F4B" w:rsidP="004D6F4B">
            <w:pPr>
              <w:pStyle w:val="TableParagraph"/>
              <w:ind w:left="69"/>
              <w:rPr>
                <w:lang w:val="fr-FR"/>
              </w:rPr>
            </w:pPr>
          </w:p>
        </w:tc>
        <w:tc>
          <w:tcPr>
            <w:tcW w:w="3315" w:type="dxa"/>
          </w:tcPr>
          <w:p w14:paraId="25439188" w14:textId="76202C2F" w:rsidR="004D6F4B" w:rsidRPr="00541E52" w:rsidRDefault="001246B6" w:rsidP="004D6F4B">
            <w:pPr>
              <w:pStyle w:val="TableParagraph"/>
              <w:rPr>
                <w:color w:val="FF0000"/>
                <w:lang w:val="fr-FR"/>
              </w:rPr>
            </w:pPr>
            <w:r w:rsidRPr="00541E52">
              <w:rPr>
                <w:color w:val="FF0000"/>
                <w:lang w:val="fr-FR"/>
              </w:rPr>
              <w:t>Article</w:t>
            </w:r>
            <w:r w:rsidR="004D6F4B" w:rsidRPr="00541E52">
              <w:rPr>
                <w:color w:val="FF0000"/>
                <w:lang w:val="fr-FR"/>
              </w:rPr>
              <w:t xml:space="preserve"> X, </w:t>
            </w:r>
            <w:r w:rsidRPr="00541E52">
              <w:rPr>
                <w:color w:val="FF0000"/>
                <w:lang w:val="fr-FR"/>
              </w:rPr>
              <w:t>paragraphe</w:t>
            </w:r>
            <w:r w:rsidR="004D6F4B" w:rsidRPr="00541E52">
              <w:rPr>
                <w:color w:val="FF0000"/>
                <w:lang w:val="fr-FR"/>
              </w:rPr>
              <w:t xml:space="preserve"> a, b, c…</w:t>
            </w:r>
          </w:p>
          <w:p w14:paraId="2C32CFBF" w14:textId="56C5B838"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Y, </w:t>
            </w:r>
            <w:r w:rsidR="00064416" w:rsidRPr="00541E52">
              <w:rPr>
                <w:color w:val="FF0000"/>
                <w:lang w:val="fr-FR"/>
              </w:rPr>
              <w:t>paragraphe</w:t>
            </w:r>
            <w:r w:rsidR="004D6F4B" w:rsidRPr="00541E52">
              <w:rPr>
                <w:color w:val="FF0000"/>
                <w:lang w:val="fr-FR"/>
              </w:rPr>
              <w:t xml:space="preserve"> d, e, f…</w:t>
            </w:r>
          </w:p>
          <w:p w14:paraId="378D7C35" w14:textId="345894D9" w:rsidR="004D6F4B" w:rsidRPr="00541E52" w:rsidRDefault="004D6F4B" w:rsidP="004D6F4B">
            <w:pPr>
              <w:pStyle w:val="TableParagraph"/>
              <w:ind w:left="0"/>
              <w:rPr>
                <w:lang w:val="fr-FR"/>
              </w:rPr>
            </w:pPr>
            <w:r w:rsidRPr="00541E52">
              <w:rPr>
                <w:color w:val="FF0000"/>
                <w:lang w:val="fr-FR"/>
              </w:rPr>
              <w:t>…</w:t>
            </w:r>
          </w:p>
        </w:tc>
        <w:tc>
          <w:tcPr>
            <w:tcW w:w="3321" w:type="dxa"/>
          </w:tcPr>
          <w:p w14:paraId="49E2C389" w14:textId="28263C61" w:rsidR="004D6F4B" w:rsidRPr="00541E52" w:rsidRDefault="001246B6" w:rsidP="004D6F4B">
            <w:pPr>
              <w:pStyle w:val="TableParagraph"/>
              <w:ind w:left="70"/>
              <w:rPr>
                <w:lang w:val="fr-FR"/>
              </w:rPr>
            </w:pPr>
            <w:r w:rsidRPr="00541E52">
              <w:rPr>
                <w:color w:val="FF0000"/>
                <w:lang w:val="fr-FR"/>
              </w:rPr>
              <w:t xml:space="preserve">Sujet spécifique </w:t>
            </w:r>
            <w:r w:rsidR="00670396" w:rsidRPr="00541E52">
              <w:rPr>
                <w:color w:val="FF0000"/>
                <w:lang w:val="fr-FR"/>
              </w:rPr>
              <w:t>traité</w:t>
            </w:r>
          </w:p>
        </w:tc>
      </w:tr>
      <w:tr w:rsidR="004D6F4B" w:rsidRPr="00541E52" w14:paraId="54607FA4" w14:textId="77777777" w:rsidTr="00D572C7">
        <w:trPr>
          <w:trHeight w:val="479"/>
        </w:trPr>
        <w:tc>
          <w:tcPr>
            <w:tcW w:w="3707" w:type="dxa"/>
          </w:tcPr>
          <w:p w14:paraId="3FCF582A" w14:textId="104D54F7" w:rsidR="004D6F4B" w:rsidRPr="00541E52" w:rsidRDefault="004D6F4B" w:rsidP="004D6F4B">
            <w:pPr>
              <w:pStyle w:val="TableParagraph"/>
              <w:rPr>
                <w:color w:val="FF0000"/>
                <w:lang w:val="fr-FR"/>
              </w:rPr>
            </w:pPr>
            <w:r w:rsidRPr="00541E52">
              <w:rPr>
                <w:lang w:val="fr-FR"/>
              </w:rPr>
              <w:t xml:space="preserve">Article 12 </w:t>
            </w:r>
            <w:r w:rsidR="00064416" w:rsidRPr="00541E52">
              <w:rPr>
                <w:color w:val="FF0000"/>
                <w:lang w:val="fr-FR"/>
              </w:rPr>
              <w:t>Point</w:t>
            </w:r>
            <w:r w:rsidRPr="00541E52">
              <w:rPr>
                <w:color w:val="FF0000"/>
                <w:lang w:val="fr-FR"/>
              </w:rPr>
              <w:t xml:space="preserve"> A, B, C…</w:t>
            </w:r>
          </w:p>
          <w:p w14:paraId="17FB5968" w14:textId="10761CA7" w:rsidR="004D6F4B" w:rsidRPr="00541E52" w:rsidRDefault="004D6F4B" w:rsidP="004D6F4B">
            <w:pPr>
              <w:pStyle w:val="TableParagraph"/>
              <w:rPr>
                <w:color w:val="FF0000"/>
                <w:lang w:val="fr-FR"/>
              </w:rPr>
            </w:pPr>
          </w:p>
          <w:p w14:paraId="002F14C0" w14:textId="20A1AB4C" w:rsidR="004D6F4B" w:rsidRPr="00541E52" w:rsidRDefault="004D6F4B" w:rsidP="004D6F4B">
            <w:pPr>
              <w:pStyle w:val="TableParagraph"/>
              <w:rPr>
                <w:color w:val="FF0000"/>
                <w:lang w:val="fr-FR"/>
              </w:rPr>
            </w:pPr>
          </w:p>
          <w:p w14:paraId="56DA3141" w14:textId="293BBFED" w:rsidR="004D6F4B" w:rsidRPr="00541E52" w:rsidRDefault="004D6F4B" w:rsidP="004D6F4B">
            <w:pPr>
              <w:pStyle w:val="TableParagraph"/>
              <w:ind w:left="69"/>
              <w:rPr>
                <w:lang w:val="fr-FR"/>
              </w:rPr>
            </w:pPr>
          </w:p>
        </w:tc>
        <w:tc>
          <w:tcPr>
            <w:tcW w:w="3315" w:type="dxa"/>
          </w:tcPr>
          <w:p w14:paraId="45532718" w14:textId="4B4BFAC3"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X, </w:t>
            </w:r>
            <w:r w:rsidRPr="00541E52">
              <w:rPr>
                <w:color w:val="FF0000"/>
                <w:lang w:val="fr-FR"/>
              </w:rPr>
              <w:t>paragraphe</w:t>
            </w:r>
            <w:r w:rsidR="004D6F4B" w:rsidRPr="00541E52">
              <w:rPr>
                <w:color w:val="FF0000"/>
                <w:lang w:val="fr-FR"/>
              </w:rPr>
              <w:t xml:space="preserve"> a, b, c…</w:t>
            </w:r>
          </w:p>
          <w:p w14:paraId="220F8A87" w14:textId="7C38F147"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Y, </w:t>
            </w:r>
            <w:r w:rsidR="00064416" w:rsidRPr="00541E52">
              <w:rPr>
                <w:color w:val="FF0000"/>
                <w:lang w:val="fr-FR"/>
              </w:rPr>
              <w:t>paragraphe</w:t>
            </w:r>
            <w:r w:rsidR="004D6F4B" w:rsidRPr="00541E52">
              <w:rPr>
                <w:color w:val="FF0000"/>
                <w:lang w:val="fr-FR"/>
              </w:rPr>
              <w:t xml:space="preserve"> d, e, f…</w:t>
            </w:r>
          </w:p>
          <w:p w14:paraId="0BA06A26" w14:textId="49422978" w:rsidR="004D6F4B" w:rsidRPr="00541E52" w:rsidRDefault="004D6F4B" w:rsidP="004D6F4B">
            <w:pPr>
              <w:pStyle w:val="TableParagraph"/>
              <w:ind w:left="0"/>
              <w:rPr>
                <w:lang w:val="fr-FR"/>
              </w:rPr>
            </w:pPr>
            <w:r w:rsidRPr="00541E52">
              <w:rPr>
                <w:color w:val="FF0000"/>
                <w:lang w:val="fr-FR"/>
              </w:rPr>
              <w:t>…</w:t>
            </w:r>
          </w:p>
        </w:tc>
        <w:tc>
          <w:tcPr>
            <w:tcW w:w="3321" w:type="dxa"/>
          </w:tcPr>
          <w:p w14:paraId="2414FDFC" w14:textId="5DE71E84" w:rsidR="004D6F4B" w:rsidRPr="00541E52" w:rsidRDefault="001246B6" w:rsidP="004D6F4B">
            <w:pPr>
              <w:pStyle w:val="TableParagraph"/>
              <w:spacing w:line="240" w:lineRule="auto"/>
              <w:ind w:left="70" w:right="718"/>
              <w:rPr>
                <w:lang w:val="fr-FR"/>
              </w:rPr>
            </w:pPr>
            <w:r w:rsidRPr="00541E52">
              <w:rPr>
                <w:color w:val="FF0000"/>
                <w:lang w:val="fr-FR"/>
              </w:rPr>
              <w:t xml:space="preserve">Sujet spécifique </w:t>
            </w:r>
            <w:r w:rsidR="00670396" w:rsidRPr="00541E52">
              <w:rPr>
                <w:color w:val="FF0000"/>
                <w:lang w:val="fr-FR"/>
              </w:rPr>
              <w:t>traité</w:t>
            </w:r>
          </w:p>
        </w:tc>
      </w:tr>
      <w:tr w:rsidR="004D6F4B" w:rsidRPr="00541E52" w14:paraId="4A882350" w14:textId="77777777" w:rsidTr="00D572C7">
        <w:trPr>
          <w:trHeight w:val="478"/>
        </w:trPr>
        <w:tc>
          <w:tcPr>
            <w:tcW w:w="3707" w:type="dxa"/>
          </w:tcPr>
          <w:p w14:paraId="130D5F29" w14:textId="0C7F9962" w:rsidR="004D6F4B" w:rsidRPr="00541E52" w:rsidRDefault="004D6F4B" w:rsidP="004D6F4B">
            <w:pPr>
              <w:pStyle w:val="TableParagraph"/>
              <w:rPr>
                <w:color w:val="FF0000"/>
                <w:lang w:val="fr-FR"/>
              </w:rPr>
            </w:pPr>
            <w:r w:rsidRPr="00541E52">
              <w:rPr>
                <w:lang w:val="fr-FR"/>
              </w:rPr>
              <w:t>Article 13</w:t>
            </w:r>
            <w:r w:rsidR="00064416" w:rsidRPr="00541E52">
              <w:rPr>
                <w:lang w:val="fr-FR"/>
              </w:rPr>
              <w:t xml:space="preserve"> </w:t>
            </w:r>
            <w:r w:rsidR="00064416" w:rsidRPr="00541E52">
              <w:rPr>
                <w:color w:val="FF0000"/>
                <w:lang w:val="fr-FR"/>
              </w:rPr>
              <w:t>Point</w:t>
            </w:r>
            <w:r w:rsidRPr="00541E52">
              <w:rPr>
                <w:color w:val="FF0000"/>
                <w:lang w:val="fr-FR"/>
              </w:rPr>
              <w:t xml:space="preserve"> A, B, C…</w:t>
            </w:r>
          </w:p>
          <w:p w14:paraId="033D6640" w14:textId="030873E0" w:rsidR="004D6F4B" w:rsidRPr="00541E52" w:rsidRDefault="004D6F4B" w:rsidP="004D6F4B">
            <w:pPr>
              <w:pStyle w:val="TableParagraph"/>
              <w:rPr>
                <w:color w:val="FF0000"/>
                <w:lang w:val="fr-FR"/>
              </w:rPr>
            </w:pPr>
          </w:p>
          <w:p w14:paraId="229CE3DD" w14:textId="658852A8" w:rsidR="004D6F4B" w:rsidRPr="00541E52" w:rsidRDefault="004D6F4B" w:rsidP="004D6F4B">
            <w:pPr>
              <w:pStyle w:val="TableParagraph"/>
              <w:rPr>
                <w:color w:val="FF0000"/>
                <w:lang w:val="fr-FR"/>
              </w:rPr>
            </w:pPr>
          </w:p>
          <w:p w14:paraId="150DA147" w14:textId="77DE6C46" w:rsidR="004D6F4B" w:rsidRPr="00541E52" w:rsidRDefault="004D6F4B" w:rsidP="004D6F4B">
            <w:pPr>
              <w:pStyle w:val="TableParagraph"/>
              <w:ind w:left="69"/>
              <w:rPr>
                <w:lang w:val="fr-FR"/>
              </w:rPr>
            </w:pPr>
          </w:p>
        </w:tc>
        <w:tc>
          <w:tcPr>
            <w:tcW w:w="3315" w:type="dxa"/>
          </w:tcPr>
          <w:p w14:paraId="0A3DC4ED" w14:textId="226E27E0"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X, </w:t>
            </w:r>
            <w:r w:rsidRPr="00541E52">
              <w:rPr>
                <w:color w:val="FF0000"/>
                <w:lang w:val="fr-FR"/>
              </w:rPr>
              <w:t>paragraphe</w:t>
            </w:r>
            <w:r w:rsidR="004D6F4B" w:rsidRPr="00541E52">
              <w:rPr>
                <w:color w:val="FF0000"/>
                <w:lang w:val="fr-FR"/>
              </w:rPr>
              <w:t xml:space="preserve"> a, b, c…</w:t>
            </w:r>
          </w:p>
          <w:p w14:paraId="7EB873E3" w14:textId="0A099A11"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Y, </w:t>
            </w:r>
            <w:r w:rsidR="00064416" w:rsidRPr="00541E52">
              <w:rPr>
                <w:color w:val="FF0000"/>
                <w:lang w:val="fr-FR"/>
              </w:rPr>
              <w:t>paragraphe</w:t>
            </w:r>
            <w:r w:rsidR="004D6F4B" w:rsidRPr="00541E52">
              <w:rPr>
                <w:color w:val="FF0000"/>
                <w:lang w:val="fr-FR"/>
              </w:rPr>
              <w:t xml:space="preserve"> d, e, f…</w:t>
            </w:r>
          </w:p>
          <w:p w14:paraId="46F0ED72" w14:textId="0542C9B9" w:rsidR="004D6F4B" w:rsidRPr="00541E52" w:rsidRDefault="004D6F4B" w:rsidP="004D6F4B">
            <w:pPr>
              <w:pStyle w:val="TableParagraph"/>
              <w:rPr>
                <w:lang w:val="fr-FR"/>
              </w:rPr>
            </w:pPr>
            <w:r w:rsidRPr="00541E52">
              <w:rPr>
                <w:color w:val="FF0000"/>
                <w:lang w:val="fr-FR"/>
              </w:rPr>
              <w:t>…</w:t>
            </w:r>
          </w:p>
        </w:tc>
        <w:tc>
          <w:tcPr>
            <w:tcW w:w="3321" w:type="dxa"/>
          </w:tcPr>
          <w:p w14:paraId="23D20149" w14:textId="068AA086" w:rsidR="004D6F4B" w:rsidRPr="00541E52" w:rsidRDefault="001246B6" w:rsidP="004D6F4B">
            <w:pPr>
              <w:pStyle w:val="TableParagraph"/>
              <w:ind w:left="70"/>
              <w:rPr>
                <w:lang w:val="fr-FR"/>
              </w:rPr>
            </w:pPr>
            <w:r w:rsidRPr="00541E52">
              <w:rPr>
                <w:color w:val="FF0000"/>
                <w:lang w:val="fr-FR"/>
              </w:rPr>
              <w:t xml:space="preserve">Sujet spécifique </w:t>
            </w:r>
            <w:r w:rsidR="00670396" w:rsidRPr="00541E52">
              <w:rPr>
                <w:color w:val="FF0000"/>
                <w:lang w:val="fr-FR"/>
              </w:rPr>
              <w:t>traité</w:t>
            </w:r>
          </w:p>
        </w:tc>
      </w:tr>
      <w:tr w:rsidR="004D6F4B" w:rsidRPr="00541E52" w14:paraId="63B1BD84" w14:textId="77777777" w:rsidTr="00A65668">
        <w:trPr>
          <w:trHeight w:val="858"/>
        </w:trPr>
        <w:tc>
          <w:tcPr>
            <w:tcW w:w="3707" w:type="dxa"/>
          </w:tcPr>
          <w:p w14:paraId="45ABAFB6" w14:textId="1D83F23E" w:rsidR="004D6F4B" w:rsidRPr="00541E52" w:rsidRDefault="004D6F4B" w:rsidP="004D6F4B">
            <w:pPr>
              <w:pStyle w:val="TableParagraph"/>
              <w:rPr>
                <w:color w:val="FF0000"/>
                <w:lang w:val="fr-FR"/>
              </w:rPr>
            </w:pPr>
            <w:r w:rsidRPr="00541E52">
              <w:rPr>
                <w:lang w:val="fr-FR"/>
              </w:rPr>
              <w:t xml:space="preserve">Article 14 </w:t>
            </w:r>
            <w:r w:rsidR="00064416" w:rsidRPr="00541E52">
              <w:rPr>
                <w:color w:val="FF0000"/>
                <w:lang w:val="fr-FR"/>
              </w:rPr>
              <w:t>Point</w:t>
            </w:r>
            <w:r w:rsidRPr="00541E52">
              <w:rPr>
                <w:color w:val="FF0000"/>
                <w:lang w:val="fr-FR"/>
              </w:rPr>
              <w:t xml:space="preserve"> A, B, C…</w:t>
            </w:r>
          </w:p>
          <w:p w14:paraId="28C35F1C" w14:textId="6680C5D6" w:rsidR="004D6F4B" w:rsidRPr="00541E52" w:rsidRDefault="004D6F4B" w:rsidP="004D6F4B">
            <w:pPr>
              <w:pStyle w:val="TableParagraph"/>
              <w:rPr>
                <w:color w:val="FF0000"/>
                <w:lang w:val="fr-FR"/>
              </w:rPr>
            </w:pPr>
          </w:p>
          <w:p w14:paraId="0E627F86" w14:textId="6A246C18" w:rsidR="004D6F4B" w:rsidRPr="00541E52" w:rsidRDefault="004D6F4B" w:rsidP="004D6F4B">
            <w:pPr>
              <w:pStyle w:val="TableParagraph"/>
              <w:rPr>
                <w:color w:val="FF0000"/>
                <w:lang w:val="fr-FR"/>
              </w:rPr>
            </w:pPr>
          </w:p>
          <w:p w14:paraId="5FD3A6D4" w14:textId="73C2EFCC" w:rsidR="004D6F4B" w:rsidRPr="00541E52" w:rsidRDefault="004D6F4B" w:rsidP="004D6F4B">
            <w:pPr>
              <w:pStyle w:val="TableParagraph"/>
              <w:ind w:left="69"/>
              <w:rPr>
                <w:lang w:val="fr-FR"/>
              </w:rPr>
            </w:pPr>
          </w:p>
        </w:tc>
        <w:tc>
          <w:tcPr>
            <w:tcW w:w="3315" w:type="dxa"/>
          </w:tcPr>
          <w:p w14:paraId="6E41743A" w14:textId="21A36EBF" w:rsidR="004D6F4B" w:rsidRPr="00541E52" w:rsidRDefault="001246B6" w:rsidP="004D6F4B">
            <w:pPr>
              <w:pStyle w:val="TableParagraph"/>
              <w:rPr>
                <w:color w:val="FF0000"/>
                <w:lang w:val="fr-FR"/>
              </w:rPr>
            </w:pPr>
            <w:r w:rsidRPr="00541E52">
              <w:rPr>
                <w:color w:val="FF0000"/>
                <w:lang w:val="fr-FR"/>
              </w:rPr>
              <w:t xml:space="preserve">Article </w:t>
            </w:r>
            <w:r w:rsidR="004D6F4B" w:rsidRPr="00541E52">
              <w:rPr>
                <w:color w:val="FF0000"/>
                <w:lang w:val="fr-FR"/>
              </w:rPr>
              <w:t xml:space="preserve">X, </w:t>
            </w:r>
            <w:r w:rsidRPr="00541E52">
              <w:rPr>
                <w:color w:val="FF0000"/>
                <w:lang w:val="fr-FR"/>
              </w:rPr>
              <w:t>paragraphe</w:t>
            </w:r>
            <w:r w:rsidR="004D6F4B" w:rsidRPr="00541E52">
              <w:rPr>
                <w:color w:val="FF0000"/>
                <w:lang w:val="fr-FR"/>
              </w:rPr>
              <w:t xml:space="preserve"> a, b, c…</w:t>
            </w:r>
          </w:p>
          <w:p w14:paraId="6014D3D9" w14:textId="32D34831" w:rsidR="004D6F4B" w:rsidRPr="00541E52" w:rsidRDefault="001246B6" w:rsidP="004D6F4B">
            <w:pPr>
              <w:pStyle w:val="TableParagraph"/>
              <w:rPr>
                <w:color w:val="FF0000"/>
                <w:lang w:val="fr-FR"/>
              </w:rPr>
            </w:pPr>
            <w:r w:rsidRPr="00541E52">
              <w:rPr>
                <w:color w:val="FF0000"/>
                <w:lang w:val="fr-FR"/>
              </w:rPr>
              <w:t>Article </w:t>
            </w:r>
            <w:r w:rsidR="004D6F4B" w:rsidRPr="00541E52">
              <w:rPr>
                <w:color w:val="FF0000"/>
                <w:lang w:val="fr-FR"/>
              </w:rPr>
              <w:t xml:space="preserve">Y, </w:t>
            </w:r>
            <w:r w:rsidR="00064416" w:rsidRPr="00541E52">
              <w:rPr>
                <w:color w:val="FF0000"/>
                <w:lang w:val="fr-FR"/>
              </w:rPr>
              <w:t>paragraphe</w:t>
            </w:r>
            <w:r w:rsidR="004D6F4B" w:rsidRPr="00541E52">
              <w:rPr>
                <w:color w:val="FF0000"/>
                <w:lang w:val="fr-FR"/>
              </w:rPr>
              <w:t xml:space="preserve"> d, e, f…</w:t>
            </w:r>
          </w:p>
          <w:p w14:paraId="55B3FDB7" w14:textId="1A101290" w:rsidR="004D6F4B" w:rsidRPr="00541E52" w:rsidRDefault="004D6F4B" w:rsidP="004D6F4B">
            <w:pPr>
              <w:pStyle w:val="TableParagraph"/>
              <w:rPr>
                <w:lang w:val="fr-FR"/>
              </w:rPr>
            </w:pPr>
            <w:r w:rsidRPr="00541E52">
              <w:rPr>
                <w:color w:val="FF0000"/>
                <w:lang w:val="fr-FR"/>
              </w:rPr>
              <w:t>…</w:t>
            </w:r>
          </w:p>
        </w:tc>
        <w:tc>
          <w:tcPr>
            <w:tcW w:w="3321" w:type="dxa"/>
          </w:tcPr>
          <w:p w14:paraId="75193922" w14:textId="0F3CDDBE" w:rsidR="004D6F4B" w:rsidRPr="00541E52" w:rsidRDefault="001246B6" w:rsidP="004D6F4B">
            <w:pPr>
              <w:pStyle w:val="TableParagraph"/>
              <w:ind w:left="70"/>
              <w:rPr>
                <w:lang w:val="fr-FR"/>
              </w:rPr>
            </w:pPr>
            <w:r w:rsidRPr="00541E52">
              <w:rPr>
                <w:color w:val="FF0000"/>
                <w:lang w:val="fr-FR"/>
              </w:rPr>
              <w:t xml:space="preserve">Sujet spécifique </w:t>
            </w:r>
            <w:r w:rsidR="00670396" w:rsidRPr="00541E52">
              <w:rPr>
                <w:color w:val="FF0000"/>
                <w:lang w:val="fr-FR"/>
              </w:rPr>
              <w:t>traité</w:t>
            </w:r>
          </w:p>
        </w:tc>
      </w:tr>
    </w:tbl>
    <w:p w14:paraId="63BF8D13" w14:textId="77777777" w:rsidR="00F51EC9" w:rsidRPr="00541E52" w:rsidRDefault="00F51EC9">
      <w:pPr>
        <w:pStyle w:val="Corpsdetexte"/>
        <w:rPr>
          <w:b/>
          <w:sz w:val="20"/>
          <w:lang w:val="fr-FR"/>
        </w:rPr>
      </w:pPr>
    </w:p>
    <w:p w14:paraId="46940A03" w14:textId="77777777" w:rsidR="00F51EC9" w:rsidRPr="00541E52" w:rsidRDefault="00F51EC9">
      <w:pPr>
        <w:pStyle w:val="Corpsdetexte"/>
        <w:spacing w:before="6"/>
        <w:rPr>
          <w:b/>
          <w:lang w:val="fr-FR"/>
        </w:rPr>
      </w:pPr>
    </w:p>
    <w:p w14:paraId="3850F573" w14:textId="2F27452E" w:rsidR="00F51EC9" w:rsidRPr="00541E52" w:rsidRDefault="00A65668" w:rsidP="00A65668">
      <w:pPr>
        <w:pStyle w:val="Corpsdetexte"/>
        <w:ind w:left="175" w:right="194"/>
        <w:jc w:val="both"/>
        <w:rPr>
          <w:lang w:val="fr-FR"/>
        </w:rPr>
      </w:pPr>
      <w:r w:rsidRPr="00541E52">
        <w:rPr>
          <w:b/>
          <w:lang w:val="fr-FR"/>
        </w:rPr>
        <w:t>AVERTISSEMENT </w:t>
      </w:r>
      <w:r w:rsidR="00EC1CB1" w:rsidRPr="00541E52">
        <w:rPr>
          <w:b/>
          <w:lang w:val="fr-FR"/>
        </w:rPr>
        <w:t xml:space="preserve">1 — </w:t>
      </w:r>
      <w:r w:rsidRPr="00541E52">
        <w:rPr>
          <w:lang w:val="fr-FR"/>
        </w:rPr>
        <w:t>La présomption de conformité demeure valable tant que la référence de la présente Norme européenne figure dans la liste publiée au Journal officiel de l'Union européenne.</w:t>
      </w:r>
      <w:r w:rsidR="002F0DA7" w:rsidRPr="00541E52">
        <w:rPr>
          <w:lang w:val="fr-FR"/>
        </w:rPr>
        <w:t xml:space="preserve"> Il est recommandé aux utilisateurs de la présente norme de consulter régulièrement la dernière liste publiée au Journal officiel de l'Union européenne.</w:t>
      </w:r>
    </w:p>
    <w:p w14:paraId="14E506E2" w14:textId="77777777" w:rsidR="00F51EC9" w:rsidRPr="00541E52" w:rsidRDefault="00F51EC9" w:rsidP="00A65668">
      <w:pPr>
        <w:pStyle w:val="Corpsdetexte"/>
        <w:rPr>
          <w:sz w:val="20"/>
          <w:lang w:val="fr-FR"/>
        </w:rPr>
      </w:pPr>
    </w:p>
    <w:p w14:paraId="3145D83B" w14:textId="546C62F7" w:rsidR="00F51EC9" w:rsidRPr="00541E52" w:rsidRDefault="00A65668" w:rsidP="00A65668">
      <w:pPr>
        <w:pStyle w:val="Corpsdetexte"/>
        <w:ind w:left="175" w:right="194"/>
        <w:jc w:val="both"/>
        <w:rPr>
          <w:lang w:val="fr-FR"/>
        </w:rPr>
      </w:pPr>
      <w:r w:rsidRPr="00541E52">
        <w:rPr>
          <w:b/>
          <w:lang w:val="fr-FR"/>
        </w:rPr>
        <w:t>AVERTISSEMENT </w:t>
      </w:r>
      <w:r w:rsidR="00EC1CB1" w:rsidRPr="00541E52">
        <w:rPr>
          <w:b/>
          <w:lang w:val="fr-FR"/>
        </w:rPr>
        <w:t xml:space="preserve">2 — </w:t>
      </w:r>
      <w:r w:rsidRPr="00541E52">
        <w:rPr>
          <w:lang w:val="fr-FR"/>
        </w:rPr>
        <w:t>D’autres dispositions de la législation de l’Union européenne peuvent être applicables aux produits relevant du domaine d’application de la présente norme.</w:t>
      </w:r>
    </w:p>
    <w:sectPr w:rsidR="00F51EC9" w:rsidRPr="00541E52">
      <w:type w:val="continuous"/>
      <w:pgSz w:w="11910" w:h="16840"/>
      <w:pgMar w:top="560" w:right="5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C48B" w14:textId="77777777" w:rsidR="007851F5" w:rsidRDefault="007851F5" w:rsidP="00B55778">
      <w:r>
        <w:separator/>
      </w:r>
    </w:p>
  </w:endnote>
  <w:endnote w:type="continuationSeparator" w:id="0">
    <w:p w14:paraId="0A4D345E" w14:textId="77777777" w:rsidR="007851F5" w:rsidRDefault="007851F5" w:rsidP="00B5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CAD96" w14:textId="77777777" w:rsidR="007851F5" w:rsidRDefault="007851F5" w:rsidP="00B55778">
      <w:r>
        <w:separator/>
      </w:r>
    </w:p>
  </w:footnote>
  <w:footnote w:type="continuationSeparator" w:id="0">
    <w:p w14:paraId="0555DD66" w14:textId="77777777" w:rsidR="007851F5" w:rsidRDefault="007851F5" w:rsidP="00B55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1EC9"/>
    <w:rsid w:val="000017A9"/>
    <w:rsid w:val="00013112"/>
    <w:rsid w:val="00064416"/>
    <w:rsid w:val="000827F2"/>
    <w:rsid w:val="000E6009"/>
    <w:rsid w:val="001246B6"/>
    <w:rsid w:val="00142C92"/>
    <w:rsid w:val="00150769"/>
    <w:rsid w:val="00160D29"/>
    <w:rsid w:val="00174162"/>
    <w:rsid w:val="001A4EED"/>
    <w:rsid w:val="001B43FE"/>
    <w:rsid w:val="001C00BD"/>
    <w:rsid w:val="002015AE"/>
    <w:rsid w:val="002163FC"/>
    <w:rsid w:val="0022790B"/>
    <w:rsid w:val="00241B66"/>
    <w:rsid w:val="00242047"/>
    <w:rsid w:val="00256500"/>
    <w:rsid w:val="00275CD4"/>
    <w:rsid w:val="0028647A"/>
    <w:rsid w:val="002F0DA7"/>
    <w:rsid w:val="003366FB"/>
    <w:rsid w:val="00394AF7"/>
    <w:rsid w:val="003A0044"/>
    <w:rsid w:val="003B412F"/>
    <w:rsid w:val="003B6785"/>
    <w:rsid w:val="003D4885"/>
    <w:rsid w:val="003D5C2D"/>
    <w:rsid w:val="003E3770"/>
    <w:rsid w:val="00435958"/>
    <w:rsid w:val="00435D8C"/>
    <w:rsid w:val="00455A23"/>
    <w:rsid w:val="00466FF8"/>
    <w:rsid w:val="00486A34"/>
    <w:rsid w:val="004870E3"/>
    <w:rsid w:val="00496925"/>
    <w:rsid w:val="004C2BA6"/>
    <w:rsid w:val="004C4597"/>
    <w:rsid w:val="004C5D34"/>
    <w:rsid w:val="004D6F4B"/>
    <w:rsid w:val="004E0F20"/>
    <w:rsid w:val="00514F99"/>
    <w:rsid w:val="00541E52"/>
    <w:rsid w:val="0054292B"/>
    <w:rsid w:val="00560997"/>
    <w:rsid w:val="00566CEC"/>
    <w:rsid w:val="00597AFA"/>
    <w:rsid w:val="005A18ED"/>
    <w:rsid w:val="005B0D41"/>
    <w:rsid w:val="005B5758"/>
    <w:rsid w:val="00622041"/>
    <w:rsid w:val="006320CD"/>
    <w:rsid w:val="00642FAF"/>
    <w:rsid w:val="00670396"/>
    <w:rsid w:val="0068595B"/>
    <w:rsid w:val="00687DB0"/>
    <w:rsid w:val="006E4727"/>
    <w:rsid w:val="006F0813"/>
    <w:rsid w:val="00747485"/>
    <w:rsid w:val="0075746F"/>
    <w:rsid w:val="007844BA"/>
    <w:rsid w:val="007851F5"/>
    <w:rsid w:val="00797E80"/>
    <w:rsid w:val="007C0AB5"/>
    <w:rsid w:val="007D7892"/>
    <w:rsid w:val="007E2A94"/>
    <w:rsid w:val="008077AE"/>
    <w:rsid w:val="008143D4"/>
    <w:rsid w:val="0086213F"/>
    <w:rsid w:val="00877D33"/>
    <w:rsid w:val="008A0AB0"/>
    <w:rsid w:val="0093234A"/>
    <w:rsid w:val="0096323A"/>
    <w:rsid w:val="00986C5E"/>
    <w:rsid w:val="00987E09"/>
    <w:rsid w:val="00994611"/>
    <w:rsid w:val="00997000"/>
    <w:rsid w:val="009E3EBA"/>
    <w:rsid w:val="009F086F"/>
    <w:rsid w:val="00A60FBB"/>
    <w:rsid w:val="00A65668"/>
    <w:rsid w:val="00AA3DFB"/>
    <w:rsid w:val="00AA6D2B"/>
    <w:rsid w:val="00AE3923"/>
    <w:rsid w:val="00B012C2"/>
    <w:rsid w:val="00B324D6"/>
    <w:rsid w:val="00B55778"/>
    <w:rsid w:val="00BC2AFD"/>
    <w:rsid w:val="00BC7D84"/>
    <w:rsid w:val="00C034E6"/>
    <w:rsid w:val="00C65A80"/>
    <w:rsid w:val="00D16558"/>
    <w:rsid w:val="00D2215A"/>
    <w:rsid w:val="00D46174"/>
    <w:rsid w:val="00D572C7"/>
    <w:rsid w:val="00D7726D"/>
    <w:rsid w:val="00DC677C"/>
    <w:rsid w:val="00DD0FB3"/>
    <w:rsid w:val="00DF0313"/>
    <w:rsid w:val="00DF369C"/>
    <w:rsid w:val="00E34E0C"/>
    <w:rsid w:val="00E35EF0"/>
    <w:rsid w:val="00E45E09"/>
    <w:rsid w:val="00E47203"/>
    <w:rsid w:val="00EA0D2B"/>
    <w:rsid w:val="00EB4F34"/>
    <w:rsid w:val="00EC1CB1"/>
    <w:rsid w:val="00EC5706"/>
    <w:rsid w:val="00EC633D"/>
    <w:rsid w:val="00EF09C9"/>
    <w:rsid w:val="00F10287"/>
    <w:rsid w:val="00F37E93"/>
    <w:rsid w:val="00F51EC9"/>
    <w:rsid w:val="00F57ACF"/>
    <w:rsid w:val="00F6053D"/>
    <w:rsid w:val="00F75C2E"/>
    <w:rsid w:val="00F83A0E"/>
    <w:rsid w:val="00F92BB7"/>
    <w:rsid w:val="00F94965"/>
    <w:rsid w:val="00FD3CF4"/>
    <w:rsid w:val="00FD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73FE"/>
  <w15:docId w15:val="{3881F581-C50B-4A44-A7F8-2897472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Titre1">
    <w:name w:val="heading 1"/>
    <w:basedOn w:val="Normal"/>
    <w:uiPriority w:val="9"/>
    <w:qFormat/>
    <w:pPr>
      <w:spacing w:before="100"/>
      <w:ind w:left="183" w:right="204"/>
      <w:jc w:val="center"/>
      <w:outlineLvl w:val="0"/>
    </w:pPr>
    <w:rPr>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57" w:lineRule="exact"/>
      <w:ind w:left="68"/>
    </w:pPr>
  </w:style>
  <w:style w:type="character" w:styleId="Marquedecommentaire">
    <w:name w:val="annotation reference"/>
    <w:basedOn w:val="Policepardfaut"/>
    <w:uiPriority w:val="99"/>
    <w:semiHidden/>
    <w:unhideWhenUsed/>
    <w:rsid w:val="00160D29"/>
    <w:rPr>
      <w:sz w:val="16"/>
      <w:szCs w:val="16"/>
    </w:rPr>
  </w:style>
  <w:style w:type="paragraph" w:styleId="Commentaire">
    <w:name w:val="annotation text"/>
    <w:basedOn w:val="Normal"/>
    <w:link w:val="CommentaireCar"/>
    <w:uiPriority w:val="99"/>
    <w:unhideWhenUsed/>
    <w:rsid w:val="00160D29"/>
    <w:rPr>
      <w:sz w:val="20"/>
      <w:szCs w:val="20"/>
    </w:rPr>
  </w:style>
  <w:style w:type="character" w:customStyle="1" w:styleId="CommentaireCar">
    <w:name w:val="Commentaire Car"/>
    <w:basedOn w:val="Policepardfaut"/>
    <w:link w:val="Commentaire"/>
    <w:uiPriority w:val="99"/>
    <w:rsid w:val="00160D29"/>
    <w:rPr>
      <w:rFonts w:ascii="Cambria" w:eastAsia="Cambria" w:hAnsi="Cambria" w:cs="Cambria"/>
      <w:sz w:val="20"/>
      <w:szCs w:val="20"/>
    </w:rPr>
  </w:style>
  <w:style w:type="paragraph" w:styleId="Objetducommentaire">
    <w:name w:val="annotation subject"/>
    <w:basedOn w:val="Commentaire"/>
    <w:next w:val="Commentaire"/>
    <w:link w:val="ObjetducommentaireCar"/>
    <w:uiPriority w:val="99"/>
    <w:semiHidden/>
    <w:unhideWhenUsed/>
    <w:rsid w:val="00160D29"/>
    <w:rPr>
      <w:b/>
      <w:bCs/>
    </w:rPr>
  </w:style>
  <w:style w:type="character" w:customStyle="1" w:styleId="ObjetducommentaireCar">
    <w:name w:val="Objet du commentaire Car"/>
    <w:basedOn w:val="CommentaireCar"/>
    <w:link w:val="Objetducommentaire"/>
    <w:uiPriority w:val="99"/>
    <w:semiHidden/>
    <w:rsid w:val="00160D29"/>
    <w:rPr>
      <w:rFonts w:ascii="Cambria" w:eastAsia="Cambria" w:hAnsi="Cambria" w:cs="Cambria"/>
      <w:b/>
      <w:bCs/>
      <w:sz w:val="20"/>
      <w:szCs w:val="20"/>
    </w:rPr>
  </w:style>
  <w:style w:type="paragraph" w:styleId="Rvision">
    <w:name w:val="Revision"/>
    <w:hidden/>
    <w:uiPriority w:val="99"/>
    <w:semiHidden/>
    <w:rsid w:val="00597AFA"/>
    <w:pPr>
      <w:widowControl/>
      <w:autoSpaceDE/>
      <w:autoSpaceDN/>
    </w:pPr>
    <w:rPr>
      <w:rFonts w:ascii="Cambria" w:eastAsia="Cambria" w:hAnsi="Cambria" w:cs="Cambria"/>
    </w:rPr>
  </w:style>
  <w:style w:type="paragraph" w:styleId="En-tte">
    <w:name w:val="header"/>
    <w:basedOn w:val="Normal"/>
    <w:link w:val="En-tteCar"/>
    <w:uiPriority w:val="99"/>
    <w:unhideWhenUsed/>
    <w:rsid w:val="00E34E0C"/>
    <w:pPr>
      <w:tabs>
        <w:tab w:val="center" w:pos="4536"/>
        <w:tab w:val="right" w:pos="9072"/>
      </w:tabs>
    </w:pPr>
  </w:style>
  <w:style w:type="character" w:customStyle="1" w:styleId="En-tteCar">
    <w:name w:val="En-tête Car"/>
    <w:basedOn w:val="Policepardfaut"/>
    <w:link w:val="En-tte"/>
    <w:uiPriority w:val="99"/>
    <w:rsid w:val="00E34E0C"/>
    <w:rPr>
      <w:rFonts w:ascii="Cambria" w:eastAsia="Cambria" w:hAnsi="Cambria" w:cs="Cambria"/>
    </w:rPr>
  </w:style>
  <w:style w:type="paragraph" w:styleId="Pieddepage">
    <w:name w:val="footer"/>
    <w:basedOn w:val="Normal"/>
    <w:link w:val="PieddepageCar"/>
    <w:uiPriority w:val="99"/>
    <w:unhideWhenUsed/>
    <w:rsid w:val="00E34E0C"/>
    <w:pPr>
      <w:tabs>
        <w:tab w:val="center" w:pos="4536"/>
        <w:tab w:val="right" w:pos="9072"/>
      </w:tabs>
    </w:pPr>
  </w:style>
  <w:style w:type="character" w:customStyle="1" w:styleId="PieddepageCar">
    <w:name w:val="Pied de page Car"/>
    <w:basedOn w:val="Policepardfaut"/>
    <w:link w:val="Pieddepage"/>
    <w:uiPriority w:val="99"/>
    <w:rsid w:val="00E34E0C"/>
    <w:rPr>
      <w:rFonts w:ascii="Cambria" w:eastAsia="Cambria" w:hAnsi="Cambria" w:cs="Cambria"/>
    </w:rPr>
  </w:style>
  <w:style w:type="paragraph" w:styleId="Textedebulles">
    <w:name w:val="Balloon Text"/>
    <w:basedOn w:val="Normal"/>
    <w:link w:val="TextedebullesCar"/>
    <w:uiPriority w:val="99"/>
    <w:semiHidden/>
    <w:unhideWhenUsed/>
    <w:rsid w:val="002F0D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0DA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457</Words>
  <Characters>2518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Carreira da Cruz Marc-Antoine</dc:creator>
  <cp:lastModifiedBy>Séverine Hamiot</cp:lastModifiedBy>
  <cp:revision>5</cp:revision>
  <dcterms:created xsi:type="dcterms:W3CDTF">2025-02-06T14:11:00Z</dcterms:created>
  <dcterms:modified xsi:type="dcterms:W3CDTF">2025-02-06T16:44:00Z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Acrobat PDFMaker 15 for Word</vt:lpwstr>
  </property>
  <property fmtid="{D5CDD505-2E9C-101B-9397-08002B2CF9AE}" pid="4" name="LastSaved">
    <vt:filetime>2023-01-30T00:00:00Z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2023-09-01T12:27:55Z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642951ca-59e4-4809-9d19-68a187c74f81</vt:lpwstr>
  </property>
  <property fmtid="{D5CDD505-2E9C-101B-9397-08002B2CF9AE}" pid="11" name="MSIP_Label_6bd9ddd1-4d20-43f6-abfa-fc3c07406f94_ContentBits">
    <vt:lpwstr>0</vt:lpwstr>
  </property>
</Properties>
</file>